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E8" w:rsidRDefault="00F320E8" w:rsidP="00167FD3">
      <w:pPr>
        <w:spacing w:after="0"/>
        <w:rPr>
          <w:rFonts w:ascii="Times New Roman" w:hAnsi="Times New Roman" w:cs="Times New Roman"/>
          <w:sz w:val="20"/>
          <w:szCs w:val="20"/>
        </w:rPr>
      </w:pPr>
    </w:p>
    <w:p w:rsidR="000C7C17" w:rsidRPr="00240B35" w:rsidRDefault="00240B35" w:rsidP="00240B35">
      <w:pPr>
        <w:shd w:val="clear" w:color="auto" w:fill="FFFFFF"/>
        <w:spacing w:after="0" w:line="240" w:lineRule="auto"/>
        <w:ind w:right="-284"/>
        <w:jc w:val="center"/>
        <w:outlineLvl w:val="0"/>
        <w:rPr>
          <w:rFonts w:ascii="Arial" w:eastAsia="Times New Roman" w:hAnsi="Arial" w:cs="Arial"/>
          <w:b/>
          <w:bCs/>
          <w:color w:val="000000"/>
          <w:kern w:val="36"/>
          <w:sz w:val="40"/>
          <w:szCs w:val="40"/>
        </w:rPr>
      </w:pPr>
      <w:r w:rsidRPr="00240B35">
        <w:rPr>
          <w:rFonts w:ascii="Arial" w:eastAsia="Times New Roman" w:hAnsi="Arial" w:cs="Arial"/>
          <w:b/>
          <w:bCs/>
          <w:color w:val="000000"/>
          <w:kern w:val="36"/>
          <w:sz w:val="40"/>
          <w:szCs w:val="40"/>
        </w:rPr>
        <w:t>Формирование</w:t>
      </w:r>
      <w:r w:rsidR="000C7C17" w:rsidRPr="00240B35">
        <w:rPr>
          <w:rFonts w:ascii="Arial" w:eastAsia="Times New Roman" w:hAnsi="Arial" w:cs="Arial"/>
          <w:b/>
          <w:bCs/>
          <w:color w:val="000000"/>
          <w:kern w:val="36"/>
          <w:sz w:val="40"/>
          <w:szCs w:val="40"/>
        </w:rPr>
        <w:t xml:space="preserve"> фонда капитального ремонта, порядок выбора способа формирования фонда капитального ремонта</w:t>
      </w:r>
    </w:p>
    <w:p w:rsidR="000C7C17" w:rsidRPr="00A66E82" w:rsidRDefault="000C7C17" w:rsidP="000C7C17">
      <w:pPr>
        <w:shd w:val="clear" w:color="auto" w:fill="FFFFFF"/>
        <w:spacing w:after="0" w:line="240" w:lineRule="auto"/>
        <w:ind w:right="-284"/>
        <w:jc w:val="center"/>
        <w:outlineLvl w:val="0"/>
        <w:rPr>
          <w:rFonts w:ascii="Times New Roman" w:eastAsia="Times New Roman" w:hAnsi="Times New Roman" w:cs="Times New Roman"/>
          <w:b/>
          <w:bCs/>
          <w:color w:val="000000"/>
          <w:kern w:val="36"/>
          <w:sz w:val="28"/>
          <w:szCs w:val="28"/>
        </w:rPr>
      </w:pPr>
    </w:p>
    <w:p w:rsidR="00854CD3" w:rsidRPr="00854CD3" w:rsidRDefault="00854CD3" w:rsidP="00BA3057">
      <w:pPr>
        <w:shd w:val="clear" w:color="auto" w:fill="FFFFFF"/>
        <w:spacing w:after="0" w:line="240" w:lineRule="auto"/>
        <w:ind w:left="-426" w:right="-1" w:firstLine="426"/>
        <w:jc w:val="center"/>
        <w:rPr>
          <w:rFonts w:ascii="Times New Roman" w:eastAsia="Times New Roman" w:hAnsi="Times New Roman" w:cs="Times New Roman"/>
          <w:color w:val="030000"/>
          <w:sz w:val="28"/>
          <w:szCs w:val="28"/>
        </w:rPr>
      </w:pPr>
      <w:r w:rsidRPr="00854CD3">
        <w:rPr>
          <w:rFonts w:ascii="Times New Roman" w:eastAsia="Times New Roman" w:hAnsi="Times New Roman" w:cs="Times New Roman"/>
          <w:b/>
          <w:bCs/>
          <w:color w:val="030000"/>
          <w:sz w:val="28"/>
          <w:szCs w:val="28"/>
        </w:rPr>
        <w:t>Источники формирования фонда капитального ремонта.</w:t>
      </w:r>
    </w:p>
    <w:p w:rsidR="00854CD3" w:rsidRPr="00854CD3" w:rsidRDefault="00854CD3" w:rsidP="00BA3057">
      <w:pPr>
        <w:spacing w:after="0" w:line="240" w:lineRule="auto"/>
        <w:ind w:left="-426" w:right="-1" w:firstLine="426"/>
        <w:jc w:val="both"/>
        <w:rPr>
          <w:rFonts w:ascii="Times New Roman" w:eastAsia="Times New Roman" w:hAnsi="Times New Roman" w:cs="Times New Roman"/>
          <w:sz w:val="28"/>
          <w:szCs w:val="28"/>
        </w:rPr>
      </w:pPr>
      <w:r w:rsidRPr="00854CD3">
        <w:rPr>
          <w:rFonts w:ascii="Times New Roman" w:eastAsia="Times New Roman" w:hAnsi="Times New Roman" w:cs="Times New Roman"/>
          <w:color w:val="030000"/>
          <w:sz w:val="28"/>
          <w:szCs w:val="28"/>
          <w:shd w:val="clear" w:color="auto" w:fill="FFFFFF"/>
        </w:rPr>
        <w:t>      </w:t>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Жилищного кодекса Российской Федерации,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p>
    <w:p w:rsidR="00854CD3" w:rsidRPr="00854CD3" w:rsidRDefault="00854CD3" w:rsidP="00BA3057">
      <w:pPr>
        <w:shd w:val="clear" w:color="auto" w:fill="FFFFFF"/>
        <w:spacing w:after="0" w:line="240" w:lineRule="auto"/>
        <w:ind w:left="-426" w:right="-1" w:firstLine="426"/>
        <w:jc w:val="center"/>
        <w:rPr>
          <w:rFonts w:ascii="Times New Roman" w:eastAsia="Times New Roman" w:hAnsi="Times New Roman" w:cs="Times New Roman"/>
          <w:color w:val="030000"/>
          <w:sz w:val="28"/>
          <w:szCs w:val="28"/>
        </w:rPr>
      </w:pPr>
      <w:r w:rsidRPr="00854CD3">
        <w:rPr>
          <w:rFonts w:ascii="Times New Roman" w:eastAsia="Times New Roman" w:hAnsi="Times New Roman" w:cs="Times New Roman"/>
          <w:b/>
          <w:bCs/>
          <w:color w:val="030000"/>
          <w:sz w:val="28"/>
          <w:szCs w:val="28"/>
        </w:rPr>
        <w:t>Способы формирования фонда капитального ремонта.</w:t>
      </w:r>
    </w:p>
    <w:p w:rsidR="00854CD3" w:rsidRPr="00854CD3" w:rsidRDefault="00854CD3" w:rsidP="00BA3057">
      <w:pPr>
        <w:spacing w:after="0" w:line="240" w:lineRule="auto"/>
        <w:ind w:left="-426" w:right="-1" w:firstLine="426"/>
        <w:jc w:val="both"/>
        <w:rPr>
          <w:rFonts w:ascii="Times New Roman" w:eastAsia="Times New Roman" w:hAnsi="Times New Roman" w:cs="Times New Roman"/>
          <w:sz w:val="28"/>
          <w:szCs w:val="28"/>
        </w:rPr>
      </w:pPr>
      <w:r w:rsidRPr="00854CD3">
        <w:rPr>
          <w:rFonts w:ascii="Times New Roman" w:eastAsia="Times New Roman" w:hAnsi="Times New Roman" w:cs="Times New Roman"/>
          <w:color w:val="030000"/>
          <w:sz w:val="28"/>
          <w:szCs w:val="28"/>
          <w:shd w:val="clear" w:color="auto" w:fill="FFFFFF"/>
        </w:rPr>
        <w:t>      </w:t>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Жилищный кодекс Российской Федерации предусматривает два способа накопления средств на капитальный ремонт (формирования фонда капитального ремонта):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     -перечисление взносов на капитальный ремонт на специальный счёт;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     -перечисление взносов на капитальный ремонт на счёт регионального оператора. </w:t>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w:t>
      </w:r>
      <w:r w:rsidRPr="00854CD3">
        <w:rPr>
          <w:rFonts w:ascii="Times New Roman" w:eastAsia="Times New Roman" w:hAnsi="Times New Roman" w:cs="Times New Roman"/>
          <w:color w:val="030000"/>
          <w:sz w:val="28"/>
          <w:szCs w:val="28"/>
          <w:shd w:val="clear" w:color="auto" w:fill="FFFFFF"/>
        </w:rPr>
        <w:t>Собственники помещений в многоквартирном доме независимо от способа управления этим домом (управляющей организацией, ТСЖ, ЖСК, непосредственный  способ управления) вправе выбрать любой из них.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Специальный счет открывается в банке в соответствии с Гражданским кодексом Российской Федерации и особенностями, установленными Жилищным Кодексом Российской Федерации. Денежные средства, внесенные на специальный счет, используются на цели, указанные в статье 174 Жилищного Кодекса Российской Федерации.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Владельцем специального счета может быть: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Жилищный кодекс Российской Федерации;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 xml:space="preserve">2) осуществляющий управление многоквартирным домом жилищный </w:t>
      </w:r>
      <w:r w:rsidRPr="00854CD3">
        <w:rPr>
          <w:rFonts w:ascii="Times New Roman" w:eastAsia="Times New Roman" w:hAnsi="Times New Roman" w:cs="Times New Roman"/>
          <w:color w:val="030000"/>
          <w:sz w:val="28"/>
          <w:szCs w:val="28"/>
          <w:shd w:val="clear" w:color="auto" w:fill="FFFFFF"/>
        </w:rPr>
        <w:lastRenderedPageBreak/>
        <w:t>кооператив;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3) управляющая организация, осуществляющая управление многоквартирным домом на основании договора управления;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4) региональный оператор.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Средства, накопленные на специальном счете, могут быть израсходованы исключительно на данный конкретный многоквартирный дом.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могут быть использованы на возвратной основе для финансирования капитального ремонта в других многоквартирных домах, собственники помещений в которых также формируют фонды капитального ремонта на счете регионального оператора. </w:t>
      </w:r>
      <w:r w:rsidRPr="00854CD3">
        <w:rPr>
          <w:rFonts w:ascii="Times New Roman" w:eastAsia="Times New Roman" w:hAnsi="Times New Roman" w:cs="Times New Roman"/>
          <w:color w:val="030000"/>
          <w:sz w:val="28"/>
          <w:szCs w:val="28"/>
        </w:rPr>
        <w:br/>
      </w:r>
    </w:p>
    <w:p w:rsidR="00854CD3" w:rsidRPr="00854CD3" w:rsidRDefault="00854CD3" w:rsidP="00BA3057">
      <w:pPr>
        <w:shd w:val="clear" w:color="auto" w:fill="FFFFFF"/>
        <w:spacing w:after="0" w:line="240" w:lineRule="auto"/>
        <w:ind w:left="-426" w:right="-1" w:firstLine="426"/>
        <w:jc w:val="center"/>
        <w:rPr>
          <w:rFonts w:ascii="Times New Roman" w:eastAsia="Times New Roman" w:hAnsi="Times New Roman" w:cs="Times New Roman"/>
          <w:color w:val="030000"/>
          <w:sz w:val="28"/>
          <w:szCs w:val="28"/>
        </w:rPr>
      </w:pPr>
      <w:r w:rsidRPr="00854CD3">
        <w:rPr>
          <w:rFonts w:ascii="Times New Roman" w:eastAsia="Times New Roman" w:hAnsi="Times New Roman" w:cs="Times New Roman"/>
          <w:b/>
          <w:bCs/>
          <w:color w:val="030000"/>
          <w:sz w:val="28"/>
          <w:szCs w:val="28"/>
        </w:rPr>
        <w:t>Порядок выбора способа формирования фонда капитального ремонта.</w:t>
      </w:r>
    </w:p>
    <w:p w:rsidR="00854CD3" w:rsidRPr="00854CD3" w:rsidRDefault="00854CD3" w:rsidP="00BA3057">
      <w:pPr>
        <w:spacing w:after="0" w:line="240" w:lineRule="auto"/>
        <w:ind w:left="-426" w:right="-1" w:firstLine="426"/>
        <w:jc w:val="both"/>
        <w:rPr>
          <w:rFonts w:ascii="Times New Roman" w:eastAsia="Times New Roman" w:hAnsi="Times New Roman" w:cs="Times New Roman"/>
          <w:sz w:val="28"/>
          <w:szCs w:val="28"/>
        </w:rPr>
      </w:pP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Способ формирования фонда капитального ремонта независимо от выбранного способа управления домом (управляющей организацией, ТСЖ, ЖСК, непосредственный способ управления) должен быть определён на основании решения общего собрания собственников помещений в многоквартирном доме.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Решение об определении способа формирования фонда капитального ремонта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должно быть принято и реализовано собственниками помещений в таких многоквартирных домах не позднее чем за три месяца до возникновения обязанности по уплате взносов на капитальный ремонт.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 xml:space="preserve">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w:t>
      </w:r>
      <w:r w:rsidRPr="00854CD3">
        <w:rPr>
          <w:rFonts w:ascii="Times New Roman" w:eastAsia="Times New Roman" w:hAnsi="Times New Roman" w:cs="Times New Roman"/>
          <w:color w:val="030000"/>
          <w:sz w:val="28"/>
          <w:szCs w:val="28"/>
          <w:shd w:val="clear" w:color="auto" w:fill="FFFFFF"/>
        </w:rPr>
        <w:lastRenderedPageBreak/>
        <w:t>помещений в многоквартирном доме должны быть определены: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2) владелец специального счета;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shd w:val="clear" w:color="auto" w:fill="FFFFFF"/>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Жилищного Кодекса Российской Федерации, вопрос о выборе кредитной организации, в которой будет открыт специальный счет, считается переданным на усмотрение регионального оператора. </w:t>
      </w:r>
      <w:r w:rsidRPr="00854CD3">
        <w:rPr>
          <w:rFonts w:ascii="Times New Roman" w:eastAsia="Times New Roman" w:hAnsi="Times New Roman" w:cs="Times New Roman"/>
          <w:color w:val="030000"/>
          <w:sz w:val="28"/>
          <w:szCs w:val="28"/>
        </w:rPr>
        <w:br/>
      </w:r>
      <w:r w:rsidRPr="00854CD3">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854CD3">
        <w:rPr>
          <w:rFonts w:ascii="Times New Roman" w:eastAsia="Times New Roman" w:hAnsi="Times New Roman" w:cs="Times New Roman"/>
          <w:color w:val="030000"/>
          <w:sz w:val="28"/>
          <w:szCs w:val="28"/>
          <w:shd w:val="clear" w:color="auto" w:fill="FFFFFF"/>
        </w:rPr>
        <w:t>В соответствии с частью 5 статьи 170 Жилищного кодекса Российской Федерации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Жилищного Кодекса Российской Федерации.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 </w:t>
      </w:r>
      <w:r w:rsidRPr="00854CD3">
        <w:rPr>
          <w:rFonts w:ascii="Times New Roman" w:eastAsia="Times New Roman" w:hAnsi="Times New Roman" w:cs="Times New Roman"/>
          <w:color w:val="030000"/>
          <w:sz w:val="28"/>
          <w:szCs w:val="28"/>
        </w:rPr>
        <w:br/>
      </w:r>
    </w:p>
    <w:p w:rsidR="00BA3057" w:rsidRDefault="00854CD3" w:rsidP="00BA3057">
      <w:pPr>
        <w:shd w:val="clear" w:color="auto" w:fill="FFFFFF"/>
        <w:spacing w:after="0" w:line="240" w:lineRule="auto"/>
        <w:ind w:left="-426" w:right="-1" w:firstLine="426"/>
        <w:jc w:val="center"/>
        <w:rPr>
          <w:rFonts w:ascii="Times New Roman" w:eastAsia="Times New Roman" w:hAnsi="Times New Roman" w:cs="Times New Roman"/>
          <w:b/>
          <w:bCs/>
          <w:color w:val="030000"/>
          <w:sz w:val="28"/>
          <w:szCs w:val="28"/>
        </w:rPr>
      </w:pPr>
      <w:r w:rsidRPr="00854CD3">
        <w:rPr>
          <w:rFonts w:ascii="Times New Roman" w:eastAsia="Times New Roman" w:hAnsi="Times New Roman" w:cs="Times New Roman"/>
          <w:b/>
          <w:bCs/>
          <w:color w:val="030000"/>
          <w:sz w:val="28"/>
          <w:szCs w:val="28"/>
        </w:rPr>
        <w:t xml:space="preserve">Порядок изменения способа формирования </w:t>
      </w:r>
    </w:p>
    <w:p w:rsidR="00854CD3" w:rsidRPr="00854CD3" w:rsidRDefault="00854CD3" w:rsidP="00BA3057">
      <w:pPr>
        <w:shd w:val="clear" w:color="auto" w:fill="FFFFFF"/>
        <w:spacing w:after="0" w:line="240" w:lineRule="auto"/>
        <w:ind w:left="-426" w:right="-1" w:firstLine="426"/>
        <w:jc w:val="center"/>
        <w:rPr>
          <w:rFonts w:ascii="Times New Roman" w:eastAsia="Times New Roman" w:hAnsi="Times New Roman" w:cs="Times New Roman"/>
          <w:color w:val="030000"/>
          <w:sz w:val="28"/>
          <w:szCs w:val="28"/>
        </w:rPr>
      </w:pPr>
      <w:r w:rsidRPr="00854CD3">
        <w:rPr>
          <w:rFonts w:ascii="Times New Roman" w:eastAsia="Times New Roman" w:hAnsi="Times New Roman" w:cs="Times New Roman"/>
          <w:b/>
          <w:bCs/>
          <w:color w:val="030000"/>
          <w:sz w:val="28"/>
          <w:szCs w:val="28"/>
        </w:rPr>
        <w:t>фонда капитального ремонта.</w:t>
      </w:r>
    </w:p>
    <w:p w:rsidR="000C7C17" w:rsidRPr="00BA3057" w:rsidRDefault="00854CD3" w:rsidP="00BA3057">
      <w:pPr>
        <w:spacing w:after="0" w:line="240" w:lineRule="auto"/>
        <w:ind w:left="-426" w:right="-1" w:firstLine="426"/>
        <w:jc w:val="both"/>
        <w:outlineLvl w:val="0"/>
        <w:rPr>
          <w:rFonts w:ascii="Times New Roman" w:eastAsia="Times New Roman" w:hAnsi="Times New Roman" w:cs="Times New Roman"/>
          <w:i/>
          <w:caps/>
          <w:color w:val="0070C0"/>
          <w:kern w:val="36"/>
          <w:sz w:val="28"/>
          <w:szCs w:val="28"/>
        </w:rPr>
      </w:pP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Решение о прекращении формирования фонда капитального ремонта на счете регионального оператора и формировании этого фонда на специальном счете вступает в силу через один год после его направления региональному оператору. В свою очередь решение о прекращении формирования фонда капитального ремонта на специальном счете и формировании фонда на счете регионального оператора вступает в силу через один месяц после направления этого решения владельцу специального счета.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 xml:space="preserve">В случае, если на проведение капитального ремонта общего имущества в </w:t>
      </w:r>
      <w:r w:rsidRPr="00BA3057">
        <w:rPr>
          <w:rFonts w:ascii="Times New Roman" w:eastAsia="Times New Roman" w:hAnsi="Times New Roman" w:cs="Times New Roman"/>
          <w:color w:val="030000"/>
          <w:sz w:val="28"/>
          <w:szCs w:val="28"/>
          <w:shd w:val="clear" w:color="auto" w:fill="FFFFFF"/>
        </w:rPr>
        <w:lastRenderedPageBreak/>
        <w:t>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статьи 173 Жилищного кодекса Российской Федерации, если меньший срок не установлен законом субъекта Российской Федерации, но не ранее наступления условия, указанного в части 2  статьи 173 Жилищного кодекса Российской Федерации.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статьи 173 Жилищного Кодекса Российской Федерации,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Жилищного Кодекса Российской Федерации,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w:t>
      </w:r>
      <w:r w:rsidRPr="00BA3057">
        <w:rPr>
          <w:rFonts w:ascii="Times New Roman" w:eastAsia="Times New Roman" w:hAnsi="Times New Roman" w:cs="Times New Roman"/>
          <w:color w:val="030000"/>
          <w:sz w:val="28"/>
          <w:szCs w:val="28"/>
          <w:shd w:val="clear" w:color="auto" w:fill="FFFFFF"/>
        </w:rPr>
        <w:lastRenderedPageBreak/>
        <w:t>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статьи 173 Жилищного Кодекса Российской Федерации.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статьи 173 Жилищного Кодекса Российской Федерации, но не ранее наступления условия, указанного в части 2 статьи 173 Жилищного Кодекса Российской Федерации.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При изменении способа формирования фонда капитального ремонта,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b/>
          <w:bCs/>
          <w:color w:val="030000"/>
          <w:sz w:val="28"/>
          <w:szCs w:val="28"/>
          <w:shd w:val="clear" w:color="auto" w:fill="FFFFFF"/>
        </w:rPr>
        <w:t>Последствия непринятия собственниками помещений в многоквартирном доме решения о выборе способа формирования фонда капитального ремонта;</w:t>
      </w:r>
      <w:r w:rsidRPr="00BA3057">
        <w:rPr>
          <w:rFonts w:ascii="Times New Roman" w:eastAsia="Times New Roman" w:hAnsi="Times New Roman" w:cs="Times New Roman"/>
          <w:color w:val="030000"/>
          <w:sz w:val="28"/>
          <w:szCs w:val="28"/>
          <w:shd w:val="clear" w:color="auto" w:fill="FFFFFF"/>
        </w:rPr>
        <w:t> </w:t>
      </w:r>
      <w:r w:rsidRPr="00BA3057">
        <w:rPr>
          <w:rFonts w:ascii="Times New Roman" w:eastAsia="Times New Roman" w:hAnsi="Times New Roman" w:cs="Times New Roman"/>
          <w:color w:val="030000"/>
          <w:sz w:val="28"/>
          <w:szCs w:val="28"/>
        </w:rPr>
        <w:br/>
      </w:r>
      <w:r w:rsidRPr="00BA3057">
        <w:rPr>
          <w:rFonts w:ascii="Times New Roman" w:eastAsia="Times New Roman" w:hAnsi="Times New Roman" w:cs="Times New Roman"/>
          <w:color w:val="030000"/>
          <w:sz w:val="28"/>
          <w:szCs w:val="28"/>
        </w:rPr>
        <w:br/>
      </w:r>
      <w:r w:rsidR="00BA3057">
        <w:rPr>
          <w:rFonts w:ascii="Times New Roman" w:eastAsia="Times New Roman" w:hAnsi="Times New Roman" w:cs="Times New Roman"/>
          <w:color w:val="030000"/>
          <w:sz w:val="28"/>
          <w:szCs w:val="28"/>
          <w:shd w:val="clear" w:color="auto" w:fill="FFFFFF"/>
        </w:rPr>
        <w:t xml:space="preserve">     </w:t>
      </w:r>
      <w:r w:rsidRPr="00BA3057">
        <w:rPr>
          <w:rFonts w:ascii="Times New Roman" w:eastAsia="Times New Roman" w:hAnsi="Times New Roman" w:cs="Times New Roman"/>
          <w:color w:val="030000"/>
          <w:sz w:val="28"/>
          <w:szCs w:val="28"/>
          <w:shd w:val="clear" w:color="auto" w:fill="FFFFFF"/>
        </w:rPr>
        <w:t>В случае, если собственники помещений в многоквартирном доме в установленный срок (частями 5 и 5.1 статьи 170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w:t>
      </w:r>
    </w:p>
    <w:sectPr w:rsidR="000C7C17" w:rsidRPr="00BA3057" w:rsidSect="00BA3057">
      <w:type w:val="continuous"/>
      <w:pgSz w:w="11906" w:h="16838"/>
      <w:pgMar w:top="709" w:right="707" w:bottom="709"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D8" w:rsidRDefault="001C63D8" w:rsidP="00D1633F">
      <w:pPr>
        <w:spacing w:after="0" w:line="240" w:lineRule="auto"/>
      </w:pPr>
      <w:r>
        <w:separator/>
      </w:r>
    </w:p>
  </w:endnote>
  <w:endnote w:type="continuationSeparator" w:id="1">
    <w:p w:rsidR="001C63D8" w:rsidRDefault="001C63D8" w:rsidP="00D16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D8" w:rsidRDefault="001C63D8" w:rsidP="00D1633F">
      <w:pPr>
        <w:spacing w:after="0" w:line="240" w:lineRule="auto"/>
      </w:pPr>
      <w:r>
        <w:separator/>
      </w:r>
    </w:p>
  </w:footnote>
  <w:footnote w:type="continuationSeparator" w:id="1">
    <w:p w:rsidR="001C63D8" w:rsidRDefault="001C63D8" w:rsidP="00D16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90132"/>
    <w:multiLevelType w:val="hybridMultilevel"/>
    <w:tmpl w:val="C5A03BA8"/>
    <w:lvl w:ilvl="0" w:tplc="ED602910">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FE44C9"/>
    <w:multiLevelType w:val="hybridMultilevel"/>
    <w:tmpl w:val="80326A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13EAC"/>
    <w:multiLevelType w:val="hybridMultilevel"/>
    <w:tmpl w:val="A462F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3EE3"/>
    <w:rsid w:val="00046A7C"/>
    <w:rsid w:val="00056860"/>
    <w:rsid w:val="000648FB"/>
    <w:rsid w:val="000817C3"/>
    <w:rsid w:val="00084E36"/>
    <w:rsid w:val="00086199"/>
    <w:rsid w:val="00096707"/>
    <w:rsid w:val="000A1CC5"/>
    <w:rsid w:val="000C5211"/>
    <w:rsid w:val="000C7C17"/>
    <w:rsid w:val="00132A41"/>
    <w:rsid w:val="00167FD3"/>
    <w:rsid w:val="00187416"/>
    <w:rsid w:val="001A22DF"/>
    <w:rsid w:val="001A2581"/>
    <w:rsid w:val="001B5366"/>
    <w:rsid w:val="001B7022"/>
    <w:rsid w:val="001C63D8"/>
    <w:rsid w:val="001F058E"/>
    <w:rsid w:val="001F6FF9"/>
    <w:rsid w:val="00215161"/>
    <w:rsid w:val="002162AE"/>
    <w:rsid w:val="00240B35"/>
    <w:rsid w:val="00262170"/>
    <w:rsid w:val="002D6C37"/>
    <w:rsid w:val="002E6536"/>
    <w:rsid w:val="00334C18"/>
    <w:rsid w:val="00334E6E"/>
    <w:rsid w:val="0035506F"/>
    <w:rsid w:val="00361160"/>
    <w:rsid w:val="003615C0"/>
    <w:rsid w:val="00390E16"/>
    <w:rsid w:val="003D059E"/>
    <w:rsid w:val="003F4D56"/>
    <w:rsid w:val="00414AA8"/>
    <w:rsid w:val="00423E55"/>
    <w:rsid w:val="00482BB6"/>
    <w:rsid w:val="004B35F5"/>
    <w:rsid w:val="004C19CD"/>
    <w:rsid w:val="004C2971"/>
    <w:rsid w:val="004C29F5"/>
    <w:rsid w:val="004E429F"/>
    <w:rsid w:val="00524473"/>
    <w:rsid w:val="005319DD"/>
    <w:rsid w:val="00531C86"/>
    <w:rsid w:val="00532EC6"/>
    <w:rsid w:val="005370E6"/>
    <w:rsid w:val="00561F2D"/>
    <w:rsid w:val="00576A16"/>
    <w:rsid w:val="005944E3"/>
    <w:rsid w:val="005E04BB"/>
    <w:rsid w:val="005E3297"/>
    <w:rsid w:val="005E6BA1"/>
    <w:rsid w:val="0060550A"/>
    <w:rsid w:val="00620805"/>
    <w:rsid w:val="00631D0E"/>
    <w:rsid w:val="00641A2B"/>
    <w:rsid w:val="00672083"/>
    <w:rsid w:val="006778A1"/>
    <w:rsid w:val="006B1A6D"/>
    <w:rsid w:val="006B5AD6"/>
    <w:rsid w:val="007204D1"/>
    <w:rsid w:val="0074550C"/>
    <w:rsid w:val="00763D3D"/>
    <w:rsid w:val="0077395F"/>
    <w:rsid w:val="007C44CE"/>
    <w:rsid w:val="00810AF4"/>
    <w:rsid w:val="00823002"/>
    <w:rsid w:val="00854405"/>
    <w:rsid w:val="00854C25"/>
    <w:rsid w:val="00854CD3"/>
    <w:rsid w:val="00865261"/>
    <w:rsid w:val="00890D8A"/>
    <w:rsid w:val="008A5E89"/>
    <w:rsid w:val="008C6493"/>
    <w:rsid w:val="008E3EE3"/>
    <w:rsid w:val="00900093"/>
    <w:rsid w:val="009034B8"/>
    <w:rsid w:val="00930153"/>
    <w:rsid w:val="00944C5A"/>
    <w:rsid w:val="00947AF4"/>
    <w:rsid w:val="00956A98"/>
    <w:rsid w:val="009B1B8F"/>
    <w:rsid w:val="009C4E26"/>
    <w:rsid w:val="009E12C1"/>
    <w:rsid w:val="009E5852"/>
    <w:rsid w:val="009F4B28"/>
    <w:rsid w:val="009F7627"/>
    <w:rsid w:val="00A24D0F"/>
    <w:rsid w:val="00A2643D"/>
    <w:rsid w:val="00A332B7"/>
    <w:rsid w:val="00A40987"/>
    <w:rsid w:val="00A5171C"/>
    <w:rsid w:val="00A60186"/>
    <w:rsid w:val="00A725BC"/>
    <w:rsid w:val="00A728D7"/>
    <w:rsid w:val="00A731B3"/>
    <w:rsid w:val="00A800FE"/>
    <w:rsid w:val="00A836B7"/>
    <w:rsid w:val="00A92BEF"/>
    <w:rsid w:val="00AB10B9"/>
    <w:rsid w:val="00AD778F"/>
    <w:rsid w:val="00AD7CE4"/>
    <w:rsid w:val="00B00FBD"/>
    <w:rsid w:val="00B127B6"/>
    <w:rsid w:val="00B2207F"/>
    <w:rsid w:val="00B27446"/>
    <w:rsid w:val="00B30998"/>
    <w:rsid w:val="00B61398"/>
    <w:rsid w:val="00B655EC"/>
    <w:rsid w:val="00B722C7"/>
    <w:rsid w:val="00B737B7"/>
    <w:rsid w:val="00B90C23"/>
    <w:rsid w:val="00BA3057"/>
    <w:rsid w:val="00BB3280"/>
    <w:rsid w:val="00BC6E0B"/>
    <w:rsid w:val="00BC7A6E"/>
    <w:rsid w:val="00BE4F5A"/>
    <w:rsid w:val="00C5493E"/>
    <w:rsid w:val="00C83641"/>
    <w:rsid w:val="00C938E1"/>
    <w:rsid w:val="00CD2F69"/>
    <w:rsid w:val="00CD58B4"/>
    <w:rsid w:val="00CD6983"/>
    <w:rsid w:val="00D00A3D"/>
    <w:rsid w:val="00D04487"/>
    <w:rsid w:val="00D056FF"/>
    <w:rsid w:val="00D063E0"/>
    <w:rsid w:val="00D07615"/>
    <w:rsid w:val="00D11A0A"/>
    <w:rsid w:val="00D1633F"/>
    <w:rsid w:val="00D3571A"/>
    <w:rsid w:val="00D52A47"/>
    <w:rsid w:val="00D56425"/>
    <w:rsid w:val="00DA2835"/>
    <w:rsid w:val="00DD72E7"/>
    <w:rsid w:val="00DE22A8"/>
    <w:rsid w:val="00E04AED"/>
    <w:rsid w:val="00E0781F"/>
    <w:rsid w:val="00E4063F"/>
    <w:rsid w:val="00E44A14"/>
    <w:rsid w:val="00E63F54"/>
    <w:rsid w:val="00EF5EDB"/>
    <w:rsid w:val="00F061CD"/>
    <w:rsid w:val="00F320E8"/>
    <w:rsid w:val="00F6355E"/>
    <w:rsid w:val="00F746F6"/>
    <w:rsid w:val="00F866B0"/>
    <w:rsid w:val="00F86F6E"/>
    <w:rsid w:val="00F904FD"/>
    <w:rsid w:val="00FA414A"/>
    <w:rsid w:val="00FA70E2"/>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A98"/>
  </w:style>
  <w:style w:type="paragraph" w:styleId="1">
    <w:name w:val="heading 1"/>
    <w:basedOn w:val="a"/>
    <w:next w:val="a"/>
    <w:link w:val="10"/>
    <w:uiPriority w:val="9"/>
    <w:qFormat/>
    <w:rsid w:val="00132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3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8E3EE3"/>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E3EE3"/>
    <w:rPr>
      <w:rFonts w:ascii="Arial" w:eastAsia="Calibri" w:hAnsi="Arial" w:cs="Arial"/>
      <w:b/>
      <w:bCs/>
      <w:sz w:val="26"/>
      <w:szCs w:val="26"/>
    </w:rPr>
  </w:style>
  <w:style w:type="paragraph" w:styleId="a3">
    <w:name w:val="Body Text"/>
    <w:basedOn w:val="a"/>
    <w:link w:val="a4"/>
    <w:uiPriority w:val="99"/>
    <w:unhideWhenUsed/>
    <w:rsid w:val="008E3EE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8E3EE3"/>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E3E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EE3"/>
    <w:rPr>
      <w:rFonts w:ascii="Tahoma" w:hAnsi="Tahoma" w:cs="Tahoma"/>
      <w:sz w:val="16"/>
      <w:szCs w:val="16"/>
    </w:rPr>
  </w:style>
  <w:style w:type="table" w:styleId="a7">
    <w:name w:val="Table Grid"/>
    <w:basedOn w:val="a1"/>
    <w:uiPriority w:val="59"/>
    <w:rsid w:val="00046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76A16"/>
    <w:pPr>
      <w:ind w:left="720"/>
      <w:contextualSpacing/>
    </w:pPr>
  </w:style>
  <w:style w:type="character" w:styleId="a9">
    <w:name w:val="Hyperlink"/>
    <w:basedOn w:val="a0"/>
    <w:uiPriority w:val="99"/>
    <w:unhideWhenUsed/>
    <w:rsid w:val="00A5171C"/>
    <w:rPr>
      <w:color w:val="0000FF" w:themeColor="hyperlink"/>
      <w:u w:val="single"/>
    </w:rPr>
  </w:style>
  <w:style w:type="paragraph" w:styleId="aa">
    <w:name w:val="No Spacing"/>
    <w:uiPriority w:val="1"/>
    <w:qFormat/>
    <w:rsid w:val="00DE22A8"/>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F320E8"/>
    <w:pPr>
      <w:spacing w:after="120" w:line="480" w:lineRule="auto"/>
    </w:pPr>
  </w:style>
  <w:style w:type="character" w:customStyle="1" w:styleId="22">
    <w:name w:val="Основной текст 2 Знак"/>
    <w:basedOn w:val="a0"/>
    <w:link w:val="21"/>
    <w:uiPriority w:val="99"/>
    <w:semiHidden/>
    <w:rsid w:val="00F320E8"/>
  </w:style>
  <w:style w:type="character" w:customStyle="1" w:styleId="10">
    <w:name w:val="Заголовок 1 Знак"/>
    <w:basedOn w:val="a0"/>
    <w:link w:val="1"/>
    <w:uiPriority w:val="9"/>
    <w:rsid w:val="00132A41"/>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unhideWhenUsed/>
    <w:rsid w:val="009E12C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9E12C1"/>
    <w:rPr>
      <w:i/>
      <w:iCs/>
    </w:rPr>
  </w:style>
  <w:style w:type="character" w:customStyle="1" w:styleId="20">
    <w:name w:val="Заголовок 2 Знак"/>
    <w:basedOn w:val="a0"/>
    <w:link w:val="2"/>
    <w:uiPriority w:val="9"/>
    <w:semiHidden/>
    <w:rsid w:val="00A332B7"/>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D1633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1633F"/>
  </w:style>
  <w:style w:type="paragraph" w:styleId="af">
    <w:name w:val="footer"/>
    <w:basedOn w:val="a"/>
    <w:link w:val="af0"/>
    <w:uiPriority w:val="99"/>
    <w:unhideWhenUsed/>
    <w:rsid w:val="00D1633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16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2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3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8E3EE3"/>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8E3EE3"/>
    <w:rPr>
      <w:rFonts w:ascii="Arial" w:eastAsia="Calibri" w:hAnsi="Arial" w:cs="Arial"/>
      <w:b/>
      <w:bCs/>
      <w:sz w:val="26"/>
      <w:szCs w:val="26"/>
    </w:rPr>
  </w:style>
  <w:style w:type="paragraph" w:styleId="a3">
    <w:name w:val="Body Text"/>
    <w:basedOn w:val="a"/>
    <w:link w:val="a4"/>
    <w:uiPriority w:val="99"/>
    <w:unhideWhenUsed/>
    <w:rsid w:val="008E3EE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8E3EE3"/>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E3E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EE3"/>
    <w:rPr>
      <w:rFonts w:ascii="Tahoma" w:hAnsi="Tahoma" w:cs="Tahoma"/>
      <w:sz w:val="16"/>
      <w:szCs w:val="16"/>
    </w:rPr>
  </w:style>
  <w:style w:type="table" w:styleId="a7">
    <w:name w:val="Table Grid"/>
    <w:basedOn w:val="a1"/>
    <w:uiPriority w:val="59"/>
    <w:rsid w:val="00046A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76A16"/>
    <w:pPr>
      <w:ind w:left="720"/>
      <w:contextualSpacing/>
    </w:pPr>
  </w:style>
  <w:style w:type="character" w:styleId="a9">
    <w:name w:val="Hyperlink"/>
    <w:basedOn w:val="a0"/>
    <w:uiPriority w:val="99"/>
    <w:unhideWhenUsed/>
    <w:rsid w:val="00A5171C"/>
    <w:rPr>
      <w:color w:val="0000FF" w:themeColor="hyperlink"/>
      <w:u w:val="single"/>
    </w:rPr>
  </w:style>
  <w:style w:type="paragraph" w:styleId="aa">
    <w:name w:val="No Spacing"/>
    <w:uiPriority w:val="1"/>
    <w:qFormat/>
    <w:rsid w:val="00DE22A8"/>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F320E8"/>
    <w:pPr>
      <w:spacing w:after="120" w:line="480" w:lineRule="auto"/>
    </w:pPr>
  </w:style>
  <w:style w:type="character" w:customStyle="1" w:styleId="22">
    <w:name w:val="Основной текст 2 Знак"/>
    <w:basedOn w:val="a0"/>
    <w:link w:val="21"/>
    <w:uiPriority w:val="99"/>
    <w:semiHidden/>
    <w:rsid w:val="00F320E8"/>
  </w:style>
  <w:style w:type="character" w:customStyle="1" w:styleId="10">
    <w:name w:val="Заголовок 1 Знак"/>
    <w:basedOn w:val="a0"/>
    <w:link w:val="1"/>
    <w:uiPriority w:val="9"/>
    <w:rsid w:val="00132A41"/>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unhideWhenUsed/>
    <w:rsid w:val="009E12C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9E12C1"/>
    <w:rPr>
      <w:i/>
      <w:iCs/>
    </w:rPr>
  </w:style>
  <w:style w:type="character" w:customStyle="1" w:styleId="20">
    <w:name w:val="Заголовок 2 Знак"/>
    <w:basedOn w:val="a0"/>
    <w:link w:val="2"/>
    <w:uiPriority w:val="9"/>
    <w:semiHidden/>
    <w:rsid w:val="00A332B7"/>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unhideWhenUsed/>
    <w:rsid w:val="00D1633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1633F"/>
  </w:style>
  <w:style w:type="paragraph" w:styleId="af">
    <w:name w:val="footer"/>
    <w:basedOn w:val="a"/>
    <w:link w:val="af0"/>
    <w:uiPriority w:val="99"/>
    <w:unhideWhenUsed/>
    <w:rsid w:val="00D1633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1633F"/>
  </w:style>
</w:styles>
</file>

<file path=word/webSettings.xml><?xml version="1.0" encoding="utf-8"?>
<w:webSettings xmlns:r="http://schemas.openxmlformats.org/officeDocument/2006/relationships" xmlns:w="http://schemas.openxmlformats.org/wordprocessingml/2006/main">
  <w:divs>
    <w:div w:id="39868345">
      <w:bodyDiv w:val="1"/>
      <w:marLeft w:val="0"/>
      <w:marRight w:val="0"/>
      <w:marTop w:val="0"/>
      <w:marBottom w:val="0"/>
      <w:divBdr>
        <w:top w:val="none" w:sz="0" w:space="0" w:color="auto"/>
        <w:left w:val="none" w:sz="0" w:space="0" w:color="auto"/>
        <w:bottom w:val="none" w:sz="0" w:space="0" w:color="auto"/>
        <w:right w:val="none" w:sz="0" w:space="0" w:color="auto"/>
      </w:divBdr>
    </w:div>
    <w:div w:id="865365162">
      <w:bodyDiv w:val="1"/>
      <w:marLeft w:val="0"/>
      <w:marRight w:val="0"/>
      <w:marTop w:val="0"/>
      <w:marBottom w:val="0"/>
      <w:divBdr>
        <w:top w:val="none" w:sz="0" w:space="0" w:color="auto"/>
        <w:left w:val="none" w:sz="0" w:space="0" w:color="auto"/>
        <w:bottom w:val="none" w:sz="0" w:space="0" w:color="auto"/>
        <w:right w:val="none" w:sz="0" w:space="0" w:color="auto"/>
      </w:divBdr>
    </w:div>
    <w:div w:id="1258632550">
      <w:bodyDiv w:val="1"/>
      <w:marLeft w:val="0"/>
      <w:marRight w:val="0"/>
      <w:marTop w:val="0"/>
      <w:marBottom w:val="0"/>
      <w:divBdr>
        <w:top w:val="none" w:sz="0" w:space="0" w:color="auto"/>
        <w:left w:val="none" w:sz="0" w:space="0" w:color="auto"/>
        <w:bottom w:val="none" w:sz="0" w:space="0" w:color="auto"/>
        <w:right w:val="none" w:sz="0" w:space="0" w:color="auto"/>
      </w:divBdr>
    </w:div>
    <w:div w:id="1295405536">
      <w:bodyDiv w:val="1"/>
      <w:marLeft w:val="0"/>
      <w:marRight w:val="0"/>
      <w:marTop w:val="0"/>
      <w:marBottom w:val="0"/>
      <w:divBdr>
        <w:top w:val="none" w:sz="0" w:space="0" w:color="auto"/>
        <w:left w:val="none" w:sz="0" w:space="0" w:color="auto"/>
        <w:bottom w:val="none" w:sz="0" w:space="0" w:color="auto"/>
        <w:right w:val="none" w:sz="0" w:space="0" w:color="auto"/>
      </w:divBdr>
    </w:div>
    <w:div w:id="1520460772">
      <w:bodyDiv w:val="1"/>
      <w:marLeft w:val="0"/>
      <w:marRight w:val="0"/>
      <w:marTop w:val="0"/>
      <w:marBottom w:val="0"/>
      <w:divBdr>
        <w:top w:val="none" w:sz="0" w:space="0" w:color="auto"/>
        <w:left w:val="none" w:sz="0" w:space="0" w:color="auto"/>
        <w:bottom w:val="none" w:sz="0" w:space="0" w:color="auto"/>
        <w:right w:val="none" w:sz="0" w:space="0" w:color="auto"/>
      </w:divBdr>
    </w:div>
    <w:div w:id="1816532414">
      <w:bodyDiv w:val="1"/>
      <w:marLeft w:val="0"/>
      <w:marRight w:val="0"/>
      <w:marTop w:val="0"/>
      <w:marBottom w:val="0"/>
      <w:divBdr>
        <w:top w:val="none" w:sz="0" w:space="0" w:color="auto"/>
        <w:left w:val="none" w:sz="0" w:space="0" w:color="auto"/>
        <w:bottom w:val="none" w:sz="0" w:space="0" w:color="auto"/>
        <w:right w:val="none" w:sz="0" w:space="0" w:color="auto"/>
      </w:divBdr>
    </w:div>
    <w:div w:id="18481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6AA9-F0BB-434F-A9F0-54DEE232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по кадровому</dc:creator>
  <cp:lastModifiedBy>ЖКХ</cp:lastModifiedBy>
  <cp:revision>4</cp:revision>
  <cp:lastPrinted>2019-07-17T06:57:00Z</cp:lastPrinted>
  <dcterms:created xsi:type="dcterms:W3CDTF">2019-07-17T07:02:00Z</dcterms:created>
  <dcterms:modified xsi:type="dcterms:W3CDTF">2019-07-17T07:04:00Z</dcterms:modified>
</cp:coreProperties>
</file>